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18" w:type="dxa"/>
        <w:tblBorders>
          <w:top w:val="nil"/>
          <w:left w:val="nil"/>
          <w:bottom w:val="nil"/>
          <w:right w:val="nil"/>
          <w:insideH w:val="nil"/>
          <w:insideV w:val="nil"/>
        </w:tblBorders>
        <w:tblLayout w:type="fixed"/>
        <w:tblCellMar>
          <w:top w:w="60" w:type="dxa"/>
          <w:left w:w="0" w:type="dxa"/>
          <w:bottom w:w="60" w:type="dxa"/>
          <w:right w:w="0" w:type="dxa"/>
        </w:tblCellMar>
        <w:tblLook w:firstColumn="1" w:firstRow="1" w:lastColumn="0" w:lastRow="0" w:noHBand="0" w:noVBand="1" w:val="04A0"/>
      </w:tblPr>
      <w:tblGrid>
        <w:gridCol w:w="5159"/>
        <w:gridCol w:w="5159"/>
      </w:tblGrid>
      <w:tr>
        <w:trPr>
          <w:cantSplit/>
        </w:trPr>
        <w:tc>
          <w:tcPr>
            <w:tcW w:type="dxa" w:w="5159"/>
          </w:tcPr>
          <w:p>
            <w:sdt>
              <w:sdtPr>
                <w:rPr>
                  <w:rFonts w:ascii="Outfit" w:hAnsi="Outfit" w:cs="Outfit" w:eastAsia="Outfit"/>
                  <w:b w:val="1"/>
                  <w:sz w:val="20"/>
                  <w:shd w:val="clear" w:color="auto" w:fill="FFC21A"/>
                </w:rPr>
                <w:alias w:val="Your logo"/>
                <w:tag w:val="your-logo"/>
                <w:id w:val="1235657017"/>
              </w:sdtPr>
              <w:sdtContent>
                <w:r>
                  <w:rPr>
                    <w:rFonts w:ascii="Outfit" w:hAnsi="Outfit" w:cs="Outfit" w:eastAsia="Outfit"/>
                    <w:b w:val="1"/>
                    <w:sz w:val="20"/>
                    <w:shd w:val="clear" w:color="auto" w:fill="FFC21A"/>
                  </w:rPr>
                  <w:t xml:space="preserve">[Your logo]</w:t>
                </w:r>
              </w:sdtContent>
            </w:sdt>
          </w:p>
        </w:tc>
        <w:tc>
          <w:tcPr>
            <w:tcW w:type="dxa" w:w="5159"/>
          </w:tcPr>
          <w:p>
            <w:pPr>
              <w:pStyle w:val="KitLabel"/>
              <w:jc w:val="right"/>
            </w:pPr>
            <w:r>
              <w:t>STAFF GUIDE / ONE PAGE</w:t>
            </w:r>
          </w:p>
        </w:tc>
      </w:tr>
    </w:tbl>
    <w:p>
      <w:pPr>
        <w:spacing w:after="0" w:line="160" w:lineRule="exact"/>
      </w:pPr>
      <w:r>
        <w:rPr>
          <w:sz w:val="4"/>
        </w:rPr>
      </w:r>
    </w:p>
    <w:p>
      <w:pPr>
        <w:pStyle w:val="KitNote"/>
      </w:pPr>
      <w:r>
        <w:rPr>
          <w:shd w:val="clear" w:color="auto" w:fill="FFC21A"/>
        </w:rPr>
        <w:t>[Fill in the yellow fields, then delete this line. Keep the never list the same as the policy's.]</w:t>
      </w:r>
    </w:p>
    <w:p>
      <w:pPr>
        <w:pStyle w:val="KitCoverTitle"/>
      </w:pPr>
      <w:r>
        <w:rPr>
          <w:sz w:val="52"/>
        </w:rPr>
        <w:t>Using AI at work</w:t>
      </w:r>
    </w:p>
    <w:p>
      <w:pPr>
        <w:pStyle w:val="KitLead"/>
        <w:spacing w:after="200"/>
      </w:pPr>
      <w:r>
        <w:rPr>
          <w:sz w:val="23"/>
        </w:rPr>
        <w:t>Our AI use policy on one page: what to do, what never goes in, and what to check before anything leaves the team.</w:t>
      </w:r>
    </w:p>
    <w:tbl>
      <w:tblPr>
        <w:tblW w:w="10318" w:type="dxa"/>
        <w:tblBorders>
          <w:top w:val="nil"/>
          <w:left w:val="nil"/>
          <w:bottom w:val="nil"/>
          <w:right w:val="nil"/>
          <w:insideH w:val="nil"/>
          <w:insideV w:val="nil"/>
        </w:tblBorders>
        <w:tblLayout w:type="fixed"/>
        <w:tblCellMar>
          <w:top w:w="0" w:type="dxa"/>
          <w:left w:w="0" w:type="dxa"/>
          <w:bottom w:w="40" w:type="dxa"/>
          <w:right w:w="200" w:type="dxa"/>
        </w:tblCellMar>
        <w:tblLook w:firstColumn="1" w:firstRow="1" w:lastColumn="0" w:lastRow="0" w:noHBand="0" w:noVBand="1" w:val="04A0"/>
      </w:tblPr>
      <w:tblGrid>
        <w:gridCol w:w="3439"/>
        <w:gridCol w:w="3439"/>
        <w:gridCol w:w="3440"/>
      </w:tblGrid>
      <w:tr>
        <w:trPr>
          <w:cantSplit/>
        </w:trPr>
        <w:tc>
          <w:tcPr>
            <w:tcW w:type="dxa" w:w="3439"/>
          </w:tcPr>
          <w:p>
            <w:pPr>
              <w:pStyle w:val="KitLabel"/>
            </w:pPr>
            <w:r>
              <w:t>OUR APPROVED TOOLS</w:t>
            </w:r>
          </w:p>
          <w:p>
            <w:pPr>
              <w:pStyle w:val="KitField"/>
              <w:pBdr>
                <w:bottom w:val="single" w:sz="8" w:space="1" w:color="0A0B0C"/>
              </w:pBdr>
            </w:pPr>
            <w:sdt>
              <w:sdtPr>
                <w:rPr>
                  <w:rFonts w:ascii="Outfit" w:hAnsi="Outfit" w:cs="Outfit" w:eastAsia="Outfit"/>
                  <w:shd w:val="clear" w:color="auto" w:fill="FFC21A"/>
                </w:rPr>
                <w:alias w:val="Our approved tools"/>
                <w:tag w:val="our-approved-tools"/>
                <w:id w:val="522680716"/>
                <w:text/>
              </w:sdtPr>
              <w:sdtContent>
                <w:r>
                  <w:rPr>
                    <w:rFonts w:ascii="Outfit" w:hAnsi="Outfit" w:cs="Outfit" w:eastAsia="Outfit"/>
                    <w:shd w:val="clear" w:color="auto" w:fill="FFC21A"/>
                  </w:rPr>
                  <w:t xml:space="preserve">[List the tools in our register]</w:t>
                </w:r>
              </w:sdtContent>
            </w:sdt>
          </w:p>
        </w:tc>
        <w:tc>
          <w:tcPr>
            <w:tcW w:type="dxa" w:w="3439"/>
          </w:tcPr>
          <w:p>
            <w:pPr>
              <w:pStyle w:val="KitLabel"/>
            </w:pPr>
            <w:r>
              <w:t>YOUR CHECKER</w:t>
            </w:r>
          </w:p>
          <w:p>
            <w:pPr>
              <w:pStyle w:val="KitField"/>
              <w:pBdr>
                <w:bottom w:val="single" w:sz="8" w:space="1" w:color="0A0B0C"/>
              </w:pBdr>
            </w:pPr>
            <w:sdt>
              <w:sdtPr>
                <w:rPr>
                  <w:rFonts w:ascii="Outfit" w:hAnsi="Outfit" w:cs="Outfit" w:eastAsia="Outfit"/>
                  <w:shd w:val="clear" w:color="auto" w:fill="FFC21A"/>
                </w:rPr>
                <w:alias w:val="Your checker"/>
                <w:tag w:val="your-checker"/>
                <w:id w:val="1312312626"/>
                <w:text/>
              </w:sdtPr>
              <w:sdtContent>
                <w:r>
                  <w:rPr>
                    <w:rFonts w:ascii="Outfit" w:hAnsi="Outfit" w:cs="Outfit" w:eastAsia="Outfit"/>
                    <w:shd w:val="clear" w:color="auto" w:fill="FFC21A"/>
                  </w:rPr>
                  <w:t xml:space="preserve">[Name or role]</w:t>
                </w:r>
              </w:sdtContent>
            </w:sdt>
          </w:p>
        </w:tc>
        <w:tc>
          <w:tcPr>
            <w:tcW w:type="dxa" w:w="3440"/>
          </w:tcPr>
          <w:p>
            <w:pPr>
              <w:pStyle w:val="KitLabel"/>
            </w:pPr>
            <w:r>
              <w:t>QUESTIONS AND SLIPS</w:t>
            </w:r>
          </w:p>
          <w:p>
            <w:pPr>
              <w:pStyle w:val="KitField"/>
              <w:pBdr>
                <w:bottom w:val="single" w:sz="8" w:space="1" w:color="0A0B0C"/>
              </w:pBdr>
            </w:pPr>
            <w:sdt>
              <w:sdtPr>
                <w:rPr>
                  <w:rFonts w:ascii="Outfit" w:hAnsi="Outfit" w:cs="Outfit" w:eastAsia="Outfit"/>
                  <w:shd w:val="clear" w:color="auto" w:fill="FFC21A"/>
                </w:rPr>
                <w:alias w:val="Questions and slips"/>
                <w:tag w:val="questions-and-slips"/>
                <w:id w:val="638154767"/>
                <w:text/>
              </w:sdtPr>
              <w:sdtContent>
                <w:r>
                  <w:rPr>
                    <w:rFonts w:ascii="Outfit" w:hAnsi="Outfit" w:cs="Outfit" w:eastAsia="Outfit"/>
                    <w:shd w:val="clear" w:color="auto" w:fill="FFC21A"/>
                  </w:rPr>
                  <w:t xml:space="preserve">[Name or channel]</w:t>
                </w:r>
              </w:sdtContent>
            </w:sdt>
          </w:p>
        </w:tc>
      </w:tr>
    </w:tbl>
    <w:p>
      <w:pPr>
        <w:spacing w:after="0" w:line="200" w:lineRule="exact"/>
      </w:pPr>
      <w:r>
        <w:rPr>
          <w:sz w:val="4"/>
        </w:rPr>
      </w:r>
    </w:p>
    <w:tbl>
      <w:tblPr>
        <w:tblW w:w="10318"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10318"/>
      </w:tblGrid>
      <w:tr>
        <w:trPr>
          <w:cantSplit/>
        </w:trPr>
        <w:tc>
          <w:tcPr>
            <w:tcW w:type="dxa" w:w="10318"/>
            <w:tcBorders>
              <w:top w:val="nil"/>
              <w:left w:val="single" w:sz="24" w:space="0" w:color="0A0B0C"/>
              <w:bottom w:val="nil"/>
              <w:right w:val="nil"/>
            </w:tcBorders>
            <w:shd w:val="clear" w:color="auto" w:fill="F3F4F4"/>
          </w:tcPr>
          <w:p>
            <w:pPr>
              <w:pStyle w:val="KitLabel"/>
            </w:pPr>
            <w:r>
              <w:t>NEVER PUT THESE INTO AN AI TOOL</w:t>
            </w:r>
          </w:p>
          <w:p>
            <w:pPr>
              <w:pStyle w:val="KitBox"/>
              <w:numPr>
                <w:ilvl w:val="0"/>
                <w:numId w:val="903"/>
              </w:numPr>
              <w:spacing w:after="60"/>
            </w:pPr>
            <w:r>
              <w:rPr>
                <w:b/>
              </w:rPr>
              <w:t>Never put personal data into an AI tool:</w:t>
            </w:r>
            <w:r>
              <w:t xml:space="preserve"> names with contact details, ID numbers, health or HR records </w:t>
            </w:r>
            <w:r>
              <w:rPr>
                <w:shd w:val="clear" w:color="auto" w:fill="FFC21A"/>
              </w:rPr>
              <w:t>[and customer records]</w:t>
            </w:r>
            <w:r>
              <w:t>.</w:t>
            </w:r>
          </w:p>
          <w:p>
            <w:pPr>
              <w:pStyle w:val="KitBox"/>
              <w:numPr>
                <w:ilvl w:val="0"/>
                <w:numId w:val="903"/>
              </w:numPr>
              <w:spacing w:after="60"/>
            </w:pPr>
            <w:r>
              <w:rPr>
                <w:b/>
              </w:rPr>
              <w:t>Never put client confidential material into an AI tool:</w:t>
            </w:r>
            <w:r>
              <w:t xml:space="preserve"> anything a client shared in confidence, or that a contract covers.</w:t>
            </w:r>
          </w:p>
          <w:p>
            <w:pPr>
              <w:pStyle w:val="KitBox"/>
              <w:numPr>
                <w:ilvl w:val="0"/>
                <w:numId w:val="903"/>
              </w:numPr>
              <w:spacing w:after="60"/>
            </w:pPr>
            <w:r>
              <w:rPr>
                <w:b/>
              </w:rPr>
              <w:t>Never put passwords and security details into an AI tool:</w:t>
            </w:r>
            <w:r>
              <w:t xml:space="preserve"> passwords, access codes, keys, anything that lets someone in.</w:t>
            </w:r>
          </w:p>
          <w:p>
            <w:pPr>
              <w:pStyle w:val="KitBox"/>
              <w:numPr>
                <w:ilvl w:val="0"/>
                <w:numId w:val="903"/>
              </w:numPr>
              <w:spacing w:after="60"/>
            </w:pPr>
            <w:r>
              <w:rPr>
                <w:b/>
              </w:rPr>
              <w:t>Never put unreleased financials into an AI tool:</w:t>
            </w:r>
            <w:r>
              <w:t xml:space="preserve"> results, forecasts, budgets, prices and deals not yet public.</w:t>
            </w:r>
          </w:p>
          <w:p>
            <w:pPr>
              <w:pStyle w:val="KitBox"/>
              <w:numPr>
                <w:ilvl w:val="0"/>
                <w:numId w:val="903"/>
              </w:numPr>
              <w:spacing w:after="60"/>
            </w:pPr>
            <w:r>
              <w:rPr>
                <w:shd w:val="clear" w:color="auto" w:fill="FFC21A"/>
              </w:rPr>
              <w:t>[Never put any item our policy adds into an AI tool: copy it here in the same words.]</w:t>
            </w:r>
          </w:p>
          <w:p>
            <w:pPr>
              <w:pStyle w:val="KitBox"/>
              <w:numPr>
                <w:ilvl w:val="0"/>
                <w:numId w:val="903"/>
              </w:numPr>
              <w:spacing w:after="60"/>
            </w:pPr>
            <w:r>
              <w:rPr>
                <w:shd w:val="clear" w:color="auto" w:fill="FFC21A"/>
              </w:rPr>
              <w:t>[Our one exception, if the policy keeps it: a tool the register approves for that kind of information. Never passwords.]</w:t>
            </w:r>
          </w:p>
        </w:tc>
      </w:tr>
    </w:tbl>
    <w:p>
      <w:pPr>
        <w:spacing w:after="0" w:line="160" w:lineRule="exact"/>
      </w:pPr>
      <w:r>
        <w:rPr>
          <w:sz w:val="4"/>
        </w:rPr>
      </w:r>
    </w:p>
    <w:tbl>
      <w:tblPr>
        <w:tblW w:w="10318" w:type="dxa"/>
        <w:tblBorders>
          <w:top w:val="nil"/>
          <w:left w:val="nil"/>
          <w:bottom w:val="nil"/>
          <w:right w:val="nil"/>
          <w:insideH w:val="nil"/>
          <w:insideV w:val="nil"/>
        </w:tblBorders>
        <w:tblLayout w:type="fixed"/>
        <w:tblCellMar>
          <w:top w:w="80" w:type="dxa"/>
          <w:left w:w="110" w:type="dxa"/>
          <w:bottom w:w="60" w:type="dxa"/>
          <w:right w:w="110" w:type="dxa"/>
        </w:tblCellMar>
        <w:tblLook w:firstColumn="1" w:firstRow="1" w:lastColumn="0" w:lastRow="0" w:noHBand="0" w:noVBand="1" w:val="04A0"/>
      </w:tblPr>
      <w:tblGrid>
        <w:gridCol w:w="3435"/>
        <w:gridCol w:w="3435"/>
        <w:gridCol w:w="3448"/>
      </w:tblGrid>
      <w:tr>
        <w:trPr>
          <w:cantSplit/>
        </w:trPr>
        <w:tc>
          <w:tcPr>
            <w:tcW w:type="dxa" w:w="3435"/>
            <w:tcBorders>
              <w:top w:val="single" w:sz="12" w:space="0" w:color="0A0B0C"/>
              <w:left w:val="single" w:sz="12" w:space="0" w:color="0A0B0C"/>
              <w:bottom w:val="nil"/>
              <w:right w:val="single" w:sz="12" w:space="0" w:color="0A0B0C"/>
            </w:tcBorders>
            <w:shd w:val="clear" w:color="auto" w:fill="1F5FE0"/>
          </w:tcPr>
          <w:p>
            <w:pPr>
              <w:pStyle w:val="KitLabel"/>
            </w:pPr>
            <w:r>
              <w:rPr>
                <w:color w:val="FFFFFF"/>
                <w:sz w:val="20"/>
              </w:rPr>
              <w:t>DO</w:t>
            </w:r>
          </w:p>
        </w:tc>
        <w:tc>
          <w:tcPr>
            <w:tcW w:type="dxa" w:w="3435"/>
            <w:tcBorders>
              <w:top w:val="single" w:sz="12" w:space="0" w:color="0A0B0C"/>
              <w:left w:val="single" w:sz="12" w:space="0" w:color="0A0B0C"/>
              <w:bottom w:val="nil"/>
              <w:right w:val="single" w:sz="12" w:space="0" w:color="0A0B0C"/>
            </w:tcBorders>
            <w:shd w:val="clear" w:color="auto" w:fill="0A0B0C"/>
          </w:tcPr>
          <w:p>
            <w:pPr>
              <w:pStyle w:val="KitLabel"/>
            </w:pPr>
            <w:r>
              <w:rPr>
                <w:color w:val="FFFFFF"/>
                <w:sz w:val="20"/>
              </w:rPr>
              <w:t>DON'T</w:t>
            </w:r>
          </w:p>
        </w:tc>
        <w:tc>
          <w:tcPr>
            <w:tcW w:type="dxa" w:w="3448"/>
            <w:tcBorders>
              <w:top w:val="single" w:sz="12" w:space="0" w:color="0A0B0C"/>
              <w:left w:val="single" w:sz="12" w:space="0" w:color="0A0B0C"/>
              <w:bottom w:val="nil"/>
              <w:right w:val="single" w:sz="12" w:space="0" w:color="0A0B0C"/>
            </w:tcBorders>
            <w:shd w:val="clear" w:color="auto" w:fill="FFC21A"/>
          </w:tcPr>
          <w:p>
            <w:pPr>
              <w:pStyle w:val="KitLabel"/>
            </w:pPr>
            <w:r>
              <w:rPr>
                <w:color w:val="0A0B0C"/>
                <w:sz w:val="20"/>
              </w:rPr>
              <w:t>CHECK</w:t>
            </w:r>
          </w:p>
        </w:tc>
      </w:tr>
      <w:tr>
        <w:trPr>
          <w:cantSplit/>
        </w:trPr>
        <w:tc>
          <w:tcPr>
            <w:tcW w:type="dxa" w:w="3435"/>
            <w:tcBorders>
              <w:top w:val="nil"/>
              <w:left w:val="single" w:sz="12" w:space="0" w:color="0A0B0C"/>
              <w:bottom w:val="single" w:sz="12" w:space="0" w:color="0A0B0C"/>
              <w:right w:val="single" w:sz="12" w:space="0" w:color="0A0B0C"/>
            </w:tcBorders>
          </w:tcPr>
          <w:p>
            <w:pPr>
              <w:pStyle w:val="KitBox"/>
              <w:numPr>
                <w:ilvl w:val="0"/>
                <w:numId w:val="904"/>
              </w:numPr>
              <w:spacing w:after="80"/>
            </w:pPr>
            <w:r>
              <w:rPr>
                <w:b/>
                <w:sz w:val="19"/>
              </w:rPr>
              <w:t>Use the approved tools,</w:t>
            </w:r>
            <w:r>
              <w:rPr>
                <w:sz w:val="19"/>
              </w:rPr>
              <w:t xml:space="preserve"> signed in with your work account.</w:t>
            </w:r>
          </w:p>
          <w:p>
            <w:pPr>
              <w:pStyle w:val="KitBox"/>
              <w:numPr>
                <w:ilvl w:val="0"/>
                <w:numId w:val="904"/>
              </w:numPr>
              <w:spacing w:after="80"/>
            </w:pPr>
            <w:r>
              <w:rPr>
                <w:b/>
                <w:sz w:val="19"/>
              </w:rPr>
              <w:t>Brief it.</w:t>
            </w:r>
            <w:r>
              <w:rPr>
                <w:sz w:val="19"/>
              </w:rPr>
              <w:t xml:space="preserve"> Say the goal, what done looks like, and what it must not touch.</w:t>
            </w:r>
          </w:p>
          <w:p>
            <w:pPr>
              <w:pStyle w:val="KitBox"/>
              <w:numPr>
                <w:ilvl w:val="0"/>
                <w:numId w:val="904"/>
              </w:numPr>
              <w:spacing w:after="80"/>
            </w:pPr>
            <w:r>
              <w:rPr>
                <w:b/>
                <w:sz w:val="19"/>
              </w:rPr>
              <w:t>Give it the source.</w:t>
            </w:r>
            <w:r>
              <w:rPr>
                <w:sz w:val="19"/>
              </w:rPr>
              <w:t xml:space="preserve"> Paste in the real text, as long as it isn't on the never list. With the real text in front of it, the likely answer is usually the true one. Usually, not always: still check.</w:t>
            </w:r>
          </w:p>
          <w:p>
            <w:pPr>
              <w:pStyle w:val="KitBox"/>
              <w:numPr>
                <w:ilvl w:val="0"/>
                <w:numId w:val="904"/>
              </w:numPr>
              <w:spacing w:after="80"/>
            </w:pPr>
            <w:r>
              <w:rPr>
                <w:b/>
                <w:sz w:val="19"/>
              </w:rPr>
              <w:t>Ask it where.</w:t>
            </w:r>
            <w:r>
              <w:rPr>
                <w:sz w:val="19"/>
              </w:rPr>
              <w:t xml:space="preserve"> Have it quote the line or link the page, so you can check it.</w:t>
            </w:r>
          </w:p>
          <w:p>
            <w:pPr>
              <w:pStyle w:val="KitBox"/>
              <w:numPr>
                <w:ilvl w:val="0"/>
                <w:numId w:val="904"/>
              </w:numPr>
              <w:spacing w:after="80"/>
            </w:pPr>
            <w:r>
              <w:rPr>
                <w:b/>
                <w:sz w:val="19"/>
              </w:rPr>
              <w:t>Say when AI did a large part</w:t>
            </w:r>
            <w:r>
              <w:rPr>
                <w:sz w:val="19"/>
              </w:rPr>
              <w:t xml:space="preserve"> of a piece of work.</w:t>
            </w:r>
          </w:p>
        </w:tc>
        <w:tc>
          <w:tcPr>
            <w:tcW w:type="dxa" w:w="3435"/>
            <w:tcBorders>
              <w:top w:val="nil"/>
              <w:left w:val="single" w:sz="12" w:space="0" w:color="0A0B0C"/>
              <w:bottom w:val="single" w:sz="12" w:space="0" w:color="0A0B0C"/>
              <w:right w:val="single" w:sz="12" w:space="0" w:color="0A0B0C"/>
            </w:tcBorders>
          </w:tcPr>
          <w:p>
            <w:pPr>
              <w:pStyle w:val="KitBox"/>
              <w:numPr>
                <w:ilvl w:val="0"/>
                <w:numId w:val="905"/>
              </w:numPr>
              <w:spacing w:after="80"/>
            </w:pPr>
            <w:r>
              <w:rPr>
                <w:b/>
                <w:sz w:val="19"/>
              </w:rPr>
              <w:t>Don't use a personal or free account</w:t>
            </w:r>
            <w:r>
              <w:rPr>
                <w:sz w:val="19"/>
              </w:rPr>
              <w:t xml:space="preserve"> for work.</w:t>
            </w:r>
          </w:p>
          <w:p>
            <w:pPr>
              <w:pStyle w:val="KitBox"/>
              <w:numPr>
                <w:ilvl w:val="0"/>
                <w:numId w:val="905"/>
              </w:numPr>
              <w:spacing w:after="80"/>
            </w:pPr>
            <w:r>
              <w:rPr>
                <w:b/>
                <w:sz w:val="19"/>
              </w:rPr>
              <w:t>Don't connect a tool</w:t>
            </w:r>
            <w:r>
              <w:rPr>
                <w:sz w:val="19"/>
              </w:rPr>
              <w:t xml:space="preserve"> to email, files or calendars without approval.</w:t>
            </w:r>
          </w:p>
          <w:p>
            <w:pPr>
              <w:pStyle w:val="KitBox"/>
              <w:numPr>
                <w:ilvl w:val="0"/>
                <w:numId w:val="905"/>
              </w:numPr>
              <w:spacing w:after="80"/>
            </w:pPr>
            <w:r>
              <w:rPr>
                <w:b/>
                <w:sz w:val="19"/>
              </w:rPr>
              <w:t>Don't let an AI agent send, pay or delete</w:t>
            </w:r>
            <w:r>
              <w:rPr>
                <w:sz w:val="19"/>
              </w:rPr>
              <w:t xml:space="preserve"> without asking you first. That is set in the tool. New agent tasks start at Read or Draft.</w:t>
            </w:r>
          </w:p>
          <w:p>
            <w:pPr>
              <w:pStyle w:val="KitBox"/>
              <w:numPr>
                <w:ilvl w:val="0"/>
                <w:numId w:val="905"/>
              </w:numPr>
              <w:spacing w:after="80"/>
            </w:pPr>
            <w:r>
              <w:rPr>
                <w:b/>
                <w:sz w:val="19"/>
              </w:rPr>
              <w:t>Don't record or transcribe a meeting with AI</w:t>
            </w:r>
            <w:r>
              <w:rPr>
                <w:sz w:val="19"/>
              </w:rPr>
              <w:t xml:space="preserve"> without telling everyone first.</w:t>
            </w:r>
          </w:p>
          <w:p>
            <w:pPr>
              <w:pStyle w:val="KitBox"/>
              <w:numPr>
                <w:ilvl w:val="0"/>
                <w:numId w:val="905"/>
              </w:numPr>
              <w:spacing w:after="80"/>
            </w:pPr>
            <w:r>
              <w:rPr>
                <w:b/>
                <w:sz w:val="19"/>
              </w:rPr>
              <w:t>Don't let AI decide about a person.</w:t>
            </w:r>
            <w:r>
              <w:rPr>
                <w:sz w:val="19"/>
              </w:rPr>
              <w:t xml:space="preserve"> A person decides, and can explain it.</w:t>
            </w:r>
          </w:p>
        </w:tc>
        <w:tc>
          <w:tcPr>
            <w:tcW w:type="dxa" w:w="3448"/>
            <w:tcBorders>
              <w:top w:val="nil"/>
              <w:left w:val="single" w:sz="12" w:space="0" w:color="0A0B0C"/>
              <w:bottom w:val="single" w:sz="12" w:space="0" w:color="0A0B0C"/>
              <w:right w:val="single" w:sz="12" w:space="0" w:color="0A0B0C"/>
            </w:tcBorders>
          </w:tcPr>
          <w:p>
            <w:pPr>
              <w:pStyle w:val="KitBox"/>
              <w:numPr>
                <w:ilvl w:val="0"/>
                <w:numId w:val="906"/>
              </w:numPr>
              <w:spacing w:after="80"/>
            </w:pPr>
            <w:r>
              <w:rPr>
                <w:b/>
                <w:sz w:val="19"/>
              </w:rPr>
              <w:t>Read all of it,</w:t>
            </w:r>
            <w:r>
              <w:rPr>
                <w:sz w:val="19"/>
              </w:rPr>
              <w:t xml:space="preserve"> not just the start.</w:t>
            </w:r>
          </w:p>
          <w:p>
            <w:pPr>
              <w:pStyle w:val="KitBox"/>
              <w:numPr>
                <w:ilvl w:val="0"/>
                <w:numId w:val="906"/>
              </w:numPr>
              <w:spacing w:after="80"/>
            </w:pPr>
            <w:r>
              <w:rPr>
                <w:b/>
                <w:sz w:val="19"/>
              </w:rPr>
              <w:t>Check every fact, figure, name, quote and link</w:t>
            </w:r>
            <w:r>
              <w:rPr>
                <w:sz w:val="19"/>
              </w:rPr>
              <w:t xml:space="preserve"> outside the chat. Quotes and links can be invented too.</w:t>
            </w:r>
          </w:p>
          <w:p>
            <w:pPr>
              <w:pStyle w:val="KitBox"/>
              <w:numPr>
                <w:ilvl w:val="0"/>
                <w:numId w:val="906"/>
              </w:numPr>
              <w:spacing w:after="80"/>
            </w:pPr>
            <w:r>
              <w:rPr>
                <w:b/>
                <w:sz w:val="19"/>
              </w:rPr>
              <w:t>Don't ask it "are you sure?"</w:t>
            </w:r>
            <w:r>
              <w:rPr>
                <w:sz w:val="19"/>
              </w:rPr>
              <w:t xml:space="preserve"> That isn't checking. Check outside the chat.</w:t>
            </w:r>
          </w:p>
          <w:p>
            <w:pPr>
              <w:pStyle w:val="KitBox"/>
              <w:numPr>
                <w:ilvl w:val="0"/>
                <w:numId w:val="906"/>
              </w:numPr>
              <w:spacing w:after="80"/>
            </w:pPr>
            <w:r>
              <w:rPr>
                <w:b/>
                <w:sz w:val="19"/>
              </w:rPr>
              <w:t>Make sure nothing from the never list</w:t>
            </w:r>
            <w:r>
              <w:rPr>
                <w:sz w:val="19"/>
              </w:rPr>
              <w:t xml:space="preserve"> slipped in.</w:t>
            </w:r>
          </w:p>
          <w:p>
            <w:pPr>
              <w:pStyle w:val="KitBox"/>
              <w:numPr>
                <w:ilvl w:val="0"/>
                <w:numId w:val="906"/>
              </w:numPr>
              <w:spacing w:after="80"/>
            </w:pPr>
            <w:r>
              <w:rPr>
                <w:b/>
                <w:sz w:val="19"/>
              </w:rPr>
              <w:t>Would you put your name to it?</w:t>
            </w:r>
            <w:r>
              <w:rPr>
                <w:sz w:val="19"/>
              </w:rPr>
              <w:t xml:space="preserve"> If not, it doesn't leave the team.</w:t>
            </w:r>
          </w:p>
        </w:tc>
      </w:tr>
    </w:tbl>
    <w:p>
      <w:pPr>
        <w:spacing w:after="0" w:line="200" w:lineRule="exact"/>
      </w:pPr>
      <w:r>
        <w:rPr>
          <w:sz w:val="4"/>
        </w:rPr>
      </w:r>
    </w:p>
    <w:tbl>
      <w:tblPr>
        <w:tblW w:w="10318" w:type="dxa"/>
        <w:tblBorders>
          <w:top w:val="nil"/>
          <w:left w:val="nil"/>
          <w:bottom w:val="nil"/>
          <w:right w:val="nil"/>
          <w:insideH w:val="nil"/>
          <w:insideV w:val="nil"/>
        </w:tblBorders>
        <w:tblLayout w:type="fixed"/>
        <w:tblCellMar>
          <w:top w:w="60" w:type="dxa"/>
          <w:left w:w="0" w:type="dxa"/>
          <w:bottom w:w="0" w:type="dxa"/>
          <w:right w:w="160" w:type="dxa"/>
        </w:tblCellMar>
        <w:tblLook w:firstColumn="1" w:firstRow="1" w:lastColumn="0" w:lastRow="0" w:noHBand="0" w:noVBand="1" w:val="04A0"/>
      </w:tblPr>
      <w:tblGrid>
        <w:gridCol w:w="3435"/>
        <w:gridCol w:w="3435"/>
        <w:gridCol w:w="3448"/>
      </w:tblGrid>
      <w:tr>
        <w:trPr>
          <w:cantSplit/>
        </w:trPr>
        <w:tc>
          <w:tcPr>
            <w:tcW w:type="dxa" w:w="3435"/>
            <w:tcBorders>
              <w:top w:val="single" w:sz="18" w:space="0" w:color="0A0B0C"/>
              <w:left w:val="nil"/>
              <w:bottom w:val="nil"/>
              <w:right w:val="nil"/>
            </w:tcBorders>
          </w:tcPr>
          <w:p>
            <w:pPr>
              <w:pStyle w:val="KitLabel"/>
            </w:pPr>
            <w:r>
              <w:t>WHY WE CHECK</w:t>
            </w:r>
          </w:p>
          <w:p>
            <w:pPr>
              <w:pStyle w:val="KitBox"/>
            </w:pPr>
            <w:r>
              <w:rPr>
                <w:sz w:val="19"/>
              </w:rPr>
              <w:t>An AI tool writes a likely answer, and likely isn't the same as true.</w:t>
            </w:r>
          </w:p>
        </w:tc>
        <w:tc>
          <w:tcPr>
            <w:tcW w:type="dxa" w:w="3435"/>
            <w:tcBorders>
              <w:top w:val="single" w:sz="18" w:space="0" w:color="0A0B0C"/>
              <w:left w:val="nil"/>
              <w:bottom w:val="nil"/>
              <w:right w:val="nil"/>
            </w:tcBorders>
          </w:tcPr>
          <w:p>
            <w:pPr>
              <w:pStyle w:val="KitLabel"/>
            </w:pPr>
            <w:r>
              <w:t>OUTSIDE TEXT</w:t>
            </w:r>
          </w:p>
          <w:p>
            <w:pPr>
              <w:pStyle w:val="KitBox"/>
            </w:pPr>
            <w:r>
              <w:rPr>
                <w:sz w:val="19"/>
              </w:rPr>
              <w:t>Words planted in a web page, an email or a document can get treated as an instruction. It's called prompt injection.</w:t>
            </w:r>
          </w:p>
        </w:tc>
        <w:tc>
          <w:tcPr>
            <w:tcW w:type="dxa" w:w="3448"/>
            <w:tcBorders>
              <w:top w:val="single" w:sz="18" w:space="0" w:color="0A0B0C"/>
              <w:left w:val="nil"/>
              <w:bottom w:val="nil"/>
              <w:right w:val="nil"/>
            </w:tcBorders>
          </w:tcPr>
          <w:p>
            <w:pPr>
              <w:pStyle w:val="KitLabel"/>
            </w:pPr>
            <w:r>
              <w:t>NOT SURE?</w:t>
            </w:r>
          </w:p>
          <w:p>
            <w:pPr>
              <w:pStyle w:val="KitBox"/>
            </w:pPr>
            <w:r>
              <w:rPr>
                <w:sz w:val="19"/>
              </w:rPr>
              <w:t>Leave it out, or ask first. Slipped up? Tell your contact above the same day.</w:t>
            </w:r>
          </w:p>
        </w:tc>
      </w:tr>
    </w:tbl>
    <w:sectPr w:rsidR="00FC693F" w:rsidRPr="0006063C" w:rsidSect="00034616">
      <w:footerReference w:type="default" r:id="rId9"/>
      <w:pgSz w:w="11906" w:h="16838"/>
      <w:pgMar w:top="680" w:right="794" w:bottom="1304" w:left="79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BE839DF7-1FEF-4680-846B-77F37C43459B}"/>
    <w:embedBold r:id="rIdOutfitB" w:fontKey="{39B27D8A-A583-4378-B1CE-1E37A471A15D}"/>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pPr>
    <w:sdt>
      <w:sdtPr>
        <w:rPr>
          <w:rFonts w:ascii="Outfit" w:hAnsi="Outfit" w:cs="Outfit" w:eastAsia="Outfit"/>
          <w:sz w:val="15"/>
          <w:shd w:val="clear" w:color="auto" w:fill="FFC21A"/>
        </w:rPr>
        <w:alias w:val="Organisation name"/>
        <w:tag w:val="organisation-name"/>
        <w:id w:val="771085090"/>
        <w:text/>
      </w:sdtPr>
      <w:sdtContent>
        <w:r>
          <w:rPr>
            <w:rFonts w:ascii="Outfit" w:hAnsi="Outfit" w:cs="Outfit" w:eastAsia="Outfit"/>
            <w:sz w:val="15"/>
            <w:shd w:val="clear" w:color="auto" w:fill="FFC21A"/>
          </w:rPr>
          <w:t xml:space="preserve">[Organisation name]</w:t>
        </w:r>
      </w:sdtContent>
    </w:sdt>
    <w:r>
      <w:rPr>
        <w:sz w:val="15"/>
      </w:rPr>
      <w:t xml:space="preserve"> AI use policy, version </w:t>
    </w:r>
    <w:sdt>
      <w:sdtPr>
        <w:rPr>
          <w:rFonts w:ascii="Outfit" w:hAnsi="Outfit" w:cs="Outfit" w:eastAsia="Outfit"/>
          <w:sz w:val="15"/>
          <w:shd w:val="clear" w:color="auto" w:fill="FFC21A"/>
        </w:rPr>
        <w:alias w:val="Version"/>
        <w:tag w:val="version"/>
        <w:id w:val="1054732952"/>
        <w:text/>
      </w:sdtPr>
      <w:sdtContent>
        <w:r>
          <w:rPr>
            <w:rFonts w:ascii="Outfit" w:hAnsi="Outfit" w:cs="Outfit" w:eastAsia="Outfit"/>
            <w:sz w:val="15"/>
            <w:shd w:val="clear" w:color="auto" w:fill="FFC21A"/>
          </w:rPr>
          <w:t xml:space="preserve">[1.0]</w:t>
        </w:r>
      </w:sdtContent>
    </w:sdt>
    <w:r>
      <w:rPr>
        <w:sz w:val="15"/>
      </w:rPr>
      <w:t xml:space="preserve">, </w:t>
    </w:r>
    <w:sdt>
      <w:sdtPr>
        <w:rPr>
          <w:rFonts w:ascii="Outfit" w:hAnsi="Outfit" w:cs="Outfit" w:eastAsia="Outfit"/>
          <w:sz w:val="15"/>
          <w:shd w:val="clear" w:color="auto" w:fill="FFC21A"/>
        </w:rPr>
        <w:alias w:val="Date"/>
        <w:tag w:val="date"/>
        <w:id w:val="1419842812"/>
        <w:text/>
      </w:sdtPr>
      <w:sdtContent>
        <w:r>
          <w:rPr>
            <w:rFonts w:ascii="Outfit" w:hAnsi="Outfit" w:cs="Outfit" w:eastAsia="Outfit"/>
            <w:sz w:val="15"/>
            <w:shd w:val="clear" w:color="auto" w:fill="FFC21A"/>
          </w:rPr>
          <w:t xml:space="preserve">[date]</w:t>
        </w:r>
      </w:sdtContent>
    </w:sdt>
    <w:r>
      <w:rPr>
        <w:sz w:val="15"/>
      </w:rPr>
      <w:t xml:space="preserve">. Questions: </w:t>
    </w:r>
    <w:sdt>
      <w:sdtPr>
        <w:rPr>
          <w:rFonts w:ascii="Outfit" w:hAnsi="Outfit" w:cs="Outfit" w:eastAsia="Outfit"/>
          <w:sz w:val="15"/>
          <w:shd w:val="clear" w:color="auto" w:fill="FFC21A"/>
        </w:rPr>
        <w:alias w:val="Questions to"/>
        <w:tag w:val="questions-to"/>
        <w:id w:val="555076653"/>
        <w:text/>
      </w:sdtPr>
      <w:sdtContent>
        <w:r>
          <w:rPr>
            <w:rFonts w:ascii="Outfit" w:hAnsi="Outfit" w:cs="Outfit" w:eastAsia="Outfit"/>
            <w:sz w:val="15"/>
            <w:shd w:val="clear" w:color="auto" w:fill="FFC21A"/>
          </w:rPr>
          <w:t xml:space="preserve">[name or channel]</w:t>
        </w:r>
      </w:sdtContent>
    </w:sdt>
    <w:r>
      <w:rPr>
        <w:sz w:val="15"/>
      </w:rPr>
      <w:t>.</w:t>
    </w:r>
    <w:r>
      <w:rPr>
        <w:sz w:val="13"/>
      </w:rPr>
      <w:t xml:space="preserve">   From Neosaipien's free Team AI Policy Kit, October 2026 edition.</w:t>
    </w:r>
  </w:p>
  <w:p>
    <w:pPr>
      <w:pStyle w:val="KitFooter"/>
      <w:spacing w:before="40"/>
    </w:pPr>
    <w:r>
      <w:rPr>
        <w:sz w:val="13"/>
      </w:rPr>
      <w:t>Sources, read on 3 and 4 Oct 2026: OpenAI, Why language models hallucinate, 5 Sep 2025; Anthropic, Reduce hallucinations and Prompting best practices; UK National Cyber Security Centre, Prompt injection is not SQL injection (it may be worse), 8 Dec 2025; OWASP, LLM01:2025 Prompt Injection.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 w:numId="903">
    <w:abstractNumId w:val="901"/>
  </w:num>
  <w:num w:numId="904">
    <w:abstractNumId w:val="901"/>
  </w:num>
  <w:num w:numId="905">
    <w:abstractNumId w:val="901"/>
  </w:num>
  <w:num w:numId="906">
    <w:abstractNumId w:val="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guide: using AI at work</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2026-10-16T22:27:16Z</dcterms:created>
  <dcterms:modified xsi:type="dcterms:W3CDTF">2026-10-16T22:27:16Z</dcterms:modified>
  <cp:category/>
</cp:coreProperties>
</file>